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Dexin Steel Indonesia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Industri Peleburan Baja</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Fatufia, Kec. Bahodopi, Kab. Morowali, Prov.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Telah melampirkan MoU kerjasama antara PT. Indonesia Morowali Indonesia Park dengan PT. Dexin Steel Indonesia</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Kompetensi Personil, Izin/persetujuan Teknis,Titik Penaatan, Titik Pantau, Parameter, Sparing, Mingguan, Pelaporan, Pemenuhan Baku Mutu, Data Harian, Beban Pencemaran,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1. Perusahaan WAJIB TETAP melakukan pengelolaan air limbah dengan memiliki persetujuan teknis pembuangan air limbah atau bekerja sama dengan pihak ketiga berizin, sesuai peraturan perundang-undangan lingkungan hidup yang berlaku.
</w:t>
              <w:br/>
              <w:t>2. Perusahaan WAJIB TETAP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p w14:paraId="0D393AFE" w14:textId="77777777" w:rsidR="00F47BCB" w:rsidRDefault="00F47BCB" w:rsidP="00F47BCB">
      <w:pPr>
        <w:rPr>
          <w:vanish/>
        </w:rPr>
      </w:pPr>
    </w:p>
    <w:p w14:paraId="6798D8BF" w14:textId="77777777" w:rsidR="00F47BCB" w:rsidRPr="00005E18" w:rsidRDefault="00F47BCB" w:rsidP="00F47BCB">
      <w:pPr>
        <w:tabs>
          <w:tab w:val="left" w:pos="7305"/>
        </w:tabs>
        <w:rPr>
          <w:rFonts w:ascii="Arial Narrow" w:hAnsi="Arial Narrow"/>
          <w:sz w:val="22"/>
          <w:szCs w:val="22"/>
          <w:lang w:val="id-ID"/>
        </w:rPr>
      </w:pPr>
      <w:r>
        <w:rPr>
          <w:rFonts w:ascii="Arial Narrow" w:hAnsi="Arial Narrow"/>
          <w:sz w:val="22"/>
          <w:szCs w:val="22"/>
          <w:lang w:val="id-ID"/>
        </w:rPr>
        <w:tab/>
      </w:r>
    </w:p>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F47BCB" w14:paraId="26333CBB" w14:textId="77777777" w:rsidTr="00E43BAA">
        <w:trPr>
          <w:trHeight w:val="11610"/>
        </w:trPr>
        <w:tc>
          <w:tcPr>
            <w:tcW w:w="9244" w:type="dxa"/>
          </w:tcPr>
          <w:p w14:paraId="6DBFF33F" w14:textId="77777777" w:rsidR="00F47BCB" w:rsidRDefault="00F47BCB" w:rsidP="00E43BAA">
            <w:pPr>
              <w:spacing w:before="120" w:after="120"/>
              <w:ind w:left="11"/>
              <w:rPr>
                <w:rFonts w:ascii="Arial Narrow" w:hAnsi="Arial Narrow"/>
                <w:b/>
                <w:lang w:val="fi-FI"/>
              </w:rPr>
            </w:pPr>
            <w:r>
              <w:rPr>
                <w:rFonts w:ascii="Arial Narrow" w:hAnsi="Arial Narrow"/>
                <w:b/>
                <w:lang w:val="fi-FI"/>
              </w:rPr>
              <w:t>III.   PENGENDALIAN PENCEMARAN UDARA</w:t>
            </w:r>
          </w:p>
          <w:p w14:paraId="77E3AC3F" w14:textId="77777777" w:rsidR="00F47BCB" w:rsidRDefault="00F47BCB" w:rsidP="00E43BAA">
            <w:pPr>
              <w:spacing w:before="120" w:after="120"/>
              <w:ind w:left="11"/>
              <w:rPr>
                <w:rFonts w:ascii="Arial Narrow" w:hAnsi="Arial Narrow"/>
                <w:b/>
                <w:lang w:val="fi-FI"/>
              </w:rPr>
            </w:pPr>
          </w:p>
          <w:p w14:paraId="7453F088" w14:textId="77777777" w:rsidR="00F47BCB" w:rsidRDefault="00F47BCB" w:rsidP="00E43BAA">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F47BCB" w14:paraId="3A1A8491" w14:textId="77777777" w:rsidTr="00E43BAA">
              <w:trPr>
                <w:trHeight w:val="270"/>
              </w:trPr>
              <w:tc>
                <w:tcPr>
                  <w:tcW w:w="547" w:type="dxa"/>
                  <w:shd w:val="clear" w:color="auto" w:fill="D9D9D9"/>
                  <w:vAlign w:val="center"/>
                </w:tcPr>
                <w:p w14:paraId="533F9727"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499695D9"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30FF8824"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56168C8B" w14:textId="77777777" w:rsidR="00F47BCB" w:rsidRDefault="00F47BCB" w:rsidP="00E43BAA">
                  <w:pPr>
                    <w:jc w:val="center"/>
                    <w:rPr>
                      <w:rFonts w:ascii="Arial Narrow" w:hAnsi="Arial Narrow"/>
                      <w:b/>
                      <w:sz w:val="22"/>
                      <w:szCs w:val="22"/>
                      <w:lang w:val="sv-SE"/>
                    </w:rPr>
                  </w:pPr>
                  <w:r>
                    <w:rPr>
                      <w:rFonts w:ascii="Arial Narrow" w:hAnsi="Arial Narrow"/>
                      <w:b/>
                      <w:sz w:val="22"/>
                      <w:szCs w:val="22"/>
                      <w:lang w:val="sv-SE"/>
                    </w:rPr>
                    <w:t>Keterangan</w:t>
                  </w:r>
                </w:p>
              </w:tc>
            </w:tr>
            <w:tr w:rsidR="00F47BCB" w14:paraId="3B370ED4" w14:textId="77777777" w:rsidTr="00E43BAA">
              <w:trPr>
                <w:trHeight w:val="1107"/>
              </w:trPr>
              <w:tc>
                <w:tcPr>
                  <w:tcW w:w="547" w:type="dxa"/>
                  <w:vMerge w:val="restart"/>
                </w:tcPr>
                <w:p w14:paraId="265C80E0"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w:t>
                  </w:r>
                </w:p>
              </w:tc>
              <w:tc>
                <w:tcPr>
                  <w:tcW w:w="3198" w:type="dxa"/>
                  <w:vMerge w:val="restart"/>
                </w:tcPr>
                <w:p w14:paraId="45C8CED1" w14:textId="77777777" w:rsidR="00F47BCB" w:rsidRDefault="00F47BCB" w:rsidP="00E43BAA">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43B2FFAB" w14:textId="77777777" w:rsidR="00F47BCB" w:rsidRDefault="00F47BCB" w:rsidP="00E43BAA">
                  <w:pPr>
                    <w:tabs>
                      <w:tab w:val="left" w:pos="388"/>
                      <w:tab w:val="center" w:pos="548"/>
                    </w:tabs>
                    <w:jc w:val="center"/>
                    <w:rPr>
                      <w:rFonts w:ascii="Arial Narrow" w:hAnsi="Arial Narrow"/>
                      <w:lang w:val="id-ID"/>
                    </w:rPr>
                  </w:pPr>
                </w:p>
              </w:tc>
              <w:tc>
                <w:tcPr>
                  <w:tcW w:w="4110" w:type="dxa"/>
                </w:tcPr>
                <w:p w14:paraId="4507117F" w14:textId="77777777" w:rsidR="00F47BCB" w:rsidRDefault="00F47BCB" w:rsidP="00E43BAA">
                  <w:pPr>
                    <w:tabs>
                      <w:tab w:val="left" w:pos="425"/>
                    </w:tabs>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19 cerobong (18 Cerobong Aktif, 1 Cerobong Tidak Aktif).
                      <w:br/>
                      c) Sumber emisi  wajib pantau COK DSI, CESPC 1 DSI, CESPC 2 DSI, CESPBF 1 DSI, CESPBF 2 DSI, CESPMS 1 DSI, CESPBOF 1 DSI, CESPLB 1 DSI, CESPS 1 DSI, CESPS 2 DSI, CESPMB 1 DSI, CESPRKST 1 DSI, CESPLK 1 DSI , CESPLK 2 DSI, CESPRKLK, CBF 3, CBOF 3, CPP 2.
                      <w:br/>
                      d) Cerobong yang dipantau COK DSI, CESPC 1 DSI, CESPC 2 DSI, CESPBF 1 DSI, CESPBF 2 DSI, CESPMS 1 DSI, CESPBOF 1 DSI, CESPLB 1 DSI, CESPS 1 DSI, CESPS 2 DSI, CESPMB 1 DSI, CESPRKST 1 DSI, CESPLK 1 DSI , CESPLK 2 DSI, CESPRKLK, CBF 3, CBOF 3, CPP 2.
                    </w:t>
                  </w:r>
                </w:p>
              </w:tc>
            </w:tr>
            <w:tr w:rsidR="00F47BCB" w14:paraId="3A171E5A" w14:textId="77777777" w:rsidTr="00E43BAA">
              <w:trPr>
                <w:trHeight w:val="806"/>
              </w:trPr>
              <w:tc>
                <w:tcPr>
                  <w:tcW w:w="547" w:type="dxa"/>
                  <w:vMerge/>
                </w:tcPr>
                <w:p w14:paraId="4A409EC0" w14:textId="77777777" w:rsidR="00F47BCB" w:rsidRDefault="00F47BCB" w:rsidP="00E43BAA">
                  <w:pPr>
                    <w:jc w:val="center"/>
                    <w:rPr>
                      <w:rFonts w:ascii="Arial Narrow" w:hAnsi="Arial Narrow"/>
                      <w:sz w:val="22"/>
                      <w:szCs w:val="22"/>
                      <w:lang w:val="fi-FI"/>
                    </w:rPr>
                  </w:pPr>
                </w:p>
              </w:tc>
              <w:tc>
                <w:tcPr>
                  <w:tcW w:w="3198" w:type="dxa"/>
                  <w:vMerge/>
                </w:tcPr>
                <w:p w14:paraId="2C170D62" w14:textId="77777777" w:rsidR="00F47BCB" w:rsidRDefault="00F47BCB" w:rsidP="00E43BAA">
                  <w:pPr>
                    <w:rPr>
                      <w:rFonts w:ascii="Arial Narrow" w:hAnsi="Arial Narrow"/>
                      <w:sz w:val="22"/>
                      <w:szCs w:val="22"/>
                      <w:lang w:val="es-ES"/>
                    </w:rPr>
                  </w:pPr>
                </w:p>
              </w:tc>
              <w:tc>
                <w:tcPr>
                  <w:tcW w:w="1134" w:type="dxa"/>
                </w:tcPr>
                <w:p w14:paraId="0B693615"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5E4C700F" w14:textId="77777777" w:rsidR="00F47BCB" w:rsidRDefault="00F47BCB" w:rsidP="00E43BAA">
                  <w:pPr>
                    <w:rPr>
                      <w:rFonts w:ascii="Arial Narrow" w:hAnsi="Arial Narrow" w:cs="Arial"/>
                      <w:bCs/>
                      <w:sz w:val="22"/>
                      <w:szCs w:val="22"/>
                      <w:lang w:val="sv-SE"/>
                    </w:rPr>
                  </w:pPr>
                  <w:r>
                    <w:rPr>
                      <w:rFonts w:ascii="Arial Narrow" w:hAnsi="Arial Narrow" w:cs="Arial"/>
                      <w:sz w:val="22"/>
                      <w:szCs w:val="22"/>
                      <w:lang w:val="id-ID"/>
                    </w:rPr>
                    <w:t>Pemantauan Manual :</w:t>
                  </w:r>
                  <w:r>
                    <w:rPr>
                      <w:rFonts w:ascii="Arial Narrow" w:hAnsi="Arial Narrow" w:cs="Arial"/>
                      <w:b/>
                      <w:color w:val="000000"/>
                      <w:sz w:val="22"/>
                      <w:szCs w:val="22"/>
                      <w:lang w:val="id-ID"/>
                    </w:rPr>
                    <w:t xml:space="preserve"> </w:t>
                  </w:r>
                </w:p>
                <w:p w14:paraId="3573E4A3" w14:textId="77777777" w:rsidR="00F47BCB" w:rsidRDefault="00F47BCB" w:rsidP="00E43BAA">
                  <w:pPr>
                    <w:rPr>
                      <w:rFonts w:ascii="Arial Narrow" w:hAnsi="Arial Narrow" w:cs="Arial"/>
                      <w:color w:val="000000"/>
                      <w:sz w:val="22"/>
                      <w:szCs w:val="22"/>
                      <w:lang w:val="id-ID"/>
                    </w:rPr>
                  </w:pPr>
                  <w:r>
                    <w:rPr>
                      <w:rFonts w:ascii="Arial Narrow" w:hAnsi="Arial Narrow" w:cs="Arial"/>
                      <w:color w:val="000000"/>
                      <w:sz w:val="22"/>
                      <w:szCs w:val="22"/>
                      <w:lang w:val="id-ID"/>
                    </w:rPr>
                    <w:t>
                      a) Sumber emisi berasal dari kegiatan proses produksi dan utilitas.
                      <w:br/>
                      b) Perusahaan Memiliki 19 cerobong (18 Cerobong Aktif, 1 Cerobong Tidak Aktif).
                      <w:br/>
                      c) Sumber emisi  wajib pantau COK DSI, CESPC 1 DSI, CESPC 2 DSI, CESPBF 1 DSI, CESPBF 2 DSI, CESPMS 1 DSI, CESPBOF 1 DSI, CESPLB 1 DSI, CESPS 1 DSI, CESPS 2 DSI, CESPMB 1 DSI, CESPRKST 1 DSI, CESPLK 1 DSI , CESPLK 2 DSI, CESPRKLK, CBF 3, CBOF 3, CPP 2.
                      <w:br/>
                      d) Cerobong yang dipantau COK DSI, CESPC 1 DSI, CESPC 2 DSI, CESPBF 1 DSI, CESPBF 2 DSI, CESPMS 1 DSI, CESPBOF 1 DSI, CESPLB 1 DSI, CESPS 1 DSI, CESPS 2 DSI, CESPMB 1 DSI, CESPRKST 1 DSI, CESPLK 1 DSI , CESPLK 2 DSI, CESPRKLK, CBF 3, CBOF 3, CPP 2.
                    </w:t>
                  </w:r>
                </w:p>
              </w:tc>
            </w:tr>
            <w:tr w:rsidR="00F47BCB" w14:paraId="7BE71368" w14:textId="77777777" w:rsidTr="00E43BAA">
              <w:trPr>
                <w:trHeight w:val="1107"/>
              </w:trPr>
              <w:tc>
                <w:tcPr>
                  <w:tcW w:w="547" w:type="dxa"/>
                  <w:vMerge/>
                </w:tcPr>
                <w:p w14:paraId="23F43412" w14:textId="77777777" w:rsidR="00F47BCB" w:rsidRDefault="00F47BCB" w:rsidP="00E43BAA">
                  <w:pPr>
                    <w:jc w:val="center"/>
                    <w:rPr>
                      <w:rFonts w:ascii="Arial Narrow" w:hAnsi="Arial Narrow"/>
                      <w:sz w:val="22"/>
                      <w:szCs w:val="22"/>
                      <w:lang w:val="fi-FI"/>
                    </w:rPr>
                  </w:pPr>
                </w:p>
              </w:tc>
              <w:tc>
                <w:tcPr>
                  <w:tcW w:w="3198" w:type="dxa"/>
                  <w:vMerge/>
                </w:tcPr>
                <w:p w14:paraId="6A7E540E" w14:textId="77777777" w:rsidR="00F47BCB" w:rsidRDefault="00F47BCB" w:rsidP="00E43BAA">
                  <w:pPr>
                    <w:rPr>
                      <w:rFonts w:ascii="Arial Narrow" w:hAnsi="Arial Narrow"/>
                      <w:sz w:val="22"/>
                      <w:szCs w:val="22"/>
                      <w:lang w:val="es-ES"/>
                    </w:rPr>
                  </w:pPr>
                </w:p>
              </w:tc>
              <w:tc>
                <w:tcPr>
                  <w:tcW w:w="1134" w:type="dxa"/>
                </w:tcPr>
                <w:p w14:paraId="0B6B7BCD"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35790B5D"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7FB5C8D8" w14:textId="77777777" w:rsidR="00F47BCB" w:rsidRDefault="00F47BCB" w:rsidP="00E43BAA">
                  <w:pPr>
                    <w:rPr>
                      <w:rFonts w:ascii="Arial Narrow" w:hAnsi="Arial Narrow" w:cs="Arial Narrow"/>
                      <w:sz w:val="22"/>
                      <w:szCs w:val="22"/>
                      <w:lang w:val="id-ID"/>
                    </w:rPr>
                  </w:pPr>
                  <w:r>
                    <w:rPr>
                      <w:rFonts w:ascii="Arial Narrow" w:hAnsi="Arial Narrow" w:cs="Arial Narrow"/>
                      <w:color w:val="000000"/>
                      <w:sz w:val="22"/>
                      <w:szCs w:val="22"/>
                      <w:lang w:val="id-ID"/>
                    </w:rPr>
                    <w:t>
                      Sumber emisi yang wajib dipantau dengan CEMS : Oven Kokas, Pembakaran Kapur 2.
                      <w:br/>
                      Perusahaan telah memantau cerobong :
                      <w:br/>
                       1.COK DSI emisi Oven Kokas
                      <w:br/>
                       2.CESPLK 2 DSI emisi Pembakaran Kapur 2
                      <w:br/>
                    </w:t>
                  </w:r>
                </w:p>
              </w:tc>
            </w:tr>
            <w:tr w:rsidR="00F47BCB" w14:paraId="104573C8" w14:textId="77777777" w:rsidTr="00E43BAA">
              <w:trPr>
                <w:trHeight w:val="386"/>
              </w:trPr>
              <w:tc>
                <w:tcPr>
                  <w:tcW w:w="547" w:type="dxa"/>
                  <w:vMerge w:val="restart"/>
                </w:tcPr>
                <w:p w14:paraId="6AE0703E"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2.</w:t>
                  </w:r>
                </w:p>
              </w:tc>
              <w:tc>
                <w:tcPr>
                  <w:tcW w:w="3198" w:type="dxa"/>
                  <w:vMerge w:val="restart"/>
                </w:tcPr>
                <w:p w14:paraId="3F3EF748" w14:textId="77777777" w:rsidR="00F47BCB" w:rsidRDefault="00F47BCB" w:rsidP="00E43BAA">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6DA14943" w14:textId="77777777" w:rsidR="00F47BCB" w:rsidRDefault="00F47BCB" w:rsidP="00E43BAA">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F8493D0" w14:textId="77777777" w:rsidR="00F47BCB" w:rsidRDefault="00F47BCB" w:rsidP="00E43BAA">
                  <w:pPr>
                    <w:rPr>
                      <w:rFonts w:ascii="Arial Narrow" w:hAnsi="Arial Narrow"/>
                      <w:bCs/>
                      <w:sz w:val="22"/>
                      <w:szCs w:val="22"/>
                      <w:lang w:val="id-ID"/>
                    </w:rPr>
                  </w:pPr>
                  <w:r>
                    <w:rPr>
                      <w:rFonts w:ascii="Arial Narrow" w:hAnsi="Arial Narrow" w:cs="Arial"/>
                      <w:sz w:val="22"/>
                      <w:szCs w:val="22"/>
                      <w:lang w:val="id-ID"/>
                    </w:rPr>
                    <w:t>Pemantauan Manual :</w:t>
                  </w:r>
                </w:p>
                <w:p w14:paraId="7C2771CB" w14:textId="77777777" w:rsidR="00F47BCB" w:rsidRDefault="00F47BCB" w:rsidP="00E43BAA">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F47BCB" w14:paraId="13550336" w14:textId="77777777" w:rsidTr="00E43BAA">
              <w:trPr>
                <w:trHeight w:val="386"/>
              </w:trPr>
              <w:tc>
                <w:tcPr>
                  <w:tcW w:w="547" w:type="dxa"/>
                  <w:vMerge/>
                </w:tcPr>
                <w:p w14:paraId="53777D06" w14:textId="77777777" w:rsidR="00F47BCB" w:rsidRDefault="00F47BCB" w:rsidP="00E43BAA">
                  <w:pPr>
                    <w:jc w:val="center"/>
                    <w:rPr>
                      <w:rFonts w:ascii="Arial Narrow" w:hAnsi="Arial Narrow"/>
                      <w:sz w:val="22"/>
                      <w:szCs w:val="22"/>
                      <w:lang w:val="fi-FI"/>
                    </w:rPr>
                  </w:pPr>
                </w:p>
              </w:tc>
              <w:tc>
                <w:tcPr>
                  <w:tcW w:w="3198" w:type="dxa"/>
                  <w:vMerge/>
                </w:tcPr>
                <w:p w14:paraId="2A041FF4" w14:textId="77777777" w:rsidR="00F47BCB" w:rsidRDefault="00F47BCB" w:rsidP="00E43BAA">
                  <w:pPr>
                    <w:rPr>
                      <w:rFonts w:ascii="Arial Narrow" w:hAnsi="Arial Narrow"/>
                      <w:sz w:val="22"/>
                      <w:szCs w:val="22"/>
                      <w:lang w:val="fi-FI"/>
                    </w:rPr>
                  </w:pPr>
                </w:p>
              </w:tc>
              <w:tc>
                <w:tcPr>
                  <w:tcW w:w="1134" w:type="dxa"/>
                </w:tcPr>
                <w:p w14:paraId="7B4AA622" w14:textId="77777777" w:rsidR="00F47BCB" w:rsidRDefault="00F47BCB" w:rsidP="00E43BAA">
                  <w:pPr>
                    <w:tabs>
                      <w:tab w:val="left" w:pos="388"/>
                      <w:tab w:val="center" w:pos="548"/>
                    </w:tabs>
                    <w:jc w:val="center"/>
                    <w:rPr>
                      <w:rFonts w:ascii="Arial Narrow" w:hAnsi="Arial Narrow"/>
                      <w:bCs/>
                      <w:color w:val="FF0000"/>
                      <w:sz w:val="22"/>
                      <w:szCs w:val="22"/>
                      <w:lang w:val="id-ID"/>
                    </w:rPr>
                  </w:pPr>
                  <w:r>
                    <w:rPr>
                      <w:rFonts w:ascii="Arial Narrow" w:hAnsi="Arial Narrow"/>
                      <w:lang w:val="id-ID"/>
                    </w:rPr>
                    <w:t>95.6%</w:t>
                  </w:r>
                </w:p>
              </w:tc>
              <w:tc>
                <w:tcPr>
                  <w:tcW w:w="4110" w:type="dxa"/>
                </w:tcPr>
                <w:p w14:paraId="79D46607" w14:textId="77777777" w:rsidR="00F47BCB" w:rsidRDefault="00F47BCB" w:rsidP="00E43BAA">
                  <w:pPr>
                    <w:rPr>
                      <w:rFonts w:ascii="Arial Narrow" w:hAnsi="Arial Narrow" w:cs="Arial Narrow"/>
                      <w:sz w:val="22"/>
                      <w:szCs w:val="22"/>
                      <w:lang w:val="id-ID"/>
                    </w:rPr>
                  </w:pPr>
                  <w:r>
                    <w:rPr>
                      <w:rFonts w:ascii="Arial Narrow" w:hAnsi="Arial Narrow" w:cs="Calibri"/>
                      <w:sz w:val="22"/>
                      <w:szCs w:val="22"/>
                      <w:lang w:val="id-ID"/>
                    </w:rPr>
                    <w:t>Pemantauan CEMS :</w:t>
                  </w:r>
                  <w:r>
                    <w:rPr>
                      <w:rFonts w:ascii="Arial Narrow" w:hAnsi="Arial Narrow" w:cs="Arial Narrow"/>
                      <w:sz w:val="22"/>
                      <w:szCs w:val="22"/>
                      <w:lang w:val="id-ID"/>
                    </w:rPr>
                    <w:t xml:space="preserve"> </w:t>
                  </w:r>
                </w:p>
                <w:p w14:paraId="645B0829" w14:textId="77777777" w:rsidR="00F47BCB" w:rsidRPr="00BD6583" w:rsidRDefault="00F47BCB" w:rsidP="00E43BAA">
                  <w:pPr>
                    <w:rPr>
                      <w:rFonts w:ascii="Arial Narrow" w:hAnsi="Arial Narrow" w:cs="Calibri"/>
                      <w:bCs/>
                      <w:sz w:val="22"/>
                      <w:szCs w:val="22"/>
                      <w:lang w:val="id-ID"/>
                    </w:rPr>
                  </w:pPr>
                  <w:r>
                    <w:rPr>
                      <w:rFonts w:ascii="Arial Narrow" w:hAnsi="Arial Narrow" w:cs="Calibri"/>
                      <w:sz w:val="22"/>
                      <w:szCs w:val="22"/>
                      <w:lang w:val="id-ID"/>
                    </w:rPr>
                    <w:t>
                      Oven Kokas
                      <w:br/>
                       TRIWULAN 2 : 96.7%  (Nitrogen Oksida (NOx), Partikulat (PM), Sulfur Dioksida (SO2))
                      <w:br/>
                      <w:br/>
                      Pembakaran Kapur 2
                      <w:br/>
                       TRIWULAN 2 : 95.6%  (Sulfur Dioksida (SO2))
                      <w:br/>
                      <w:br/>
                      Blast Furnace
                      <w:br/>
                       TRIWULAN 2 : 95.6%  (Sulfur Dioksida (SO2))
                      <w:br/>
                      <w:br/>
                      Converter
                      <w:br/>
                       TRIWULAN 2 : 95.6%  (Sulfur Dioksida (SO2))
                      <w:br/>
                      <w:br/>
                      PLTGU 
                      <w:br/>
                       TRIWULAN 2 : 95.6%  (Sulfur Dioksida (SO2))
                      <w:br/>
                      <w:br/>
                    </w:t>
                  </w:r>
                </w:p>
              </w:tc>
            </w:tr>
            <w:tr w:rsidR="00F47BCB" w14:paraId="6D126B2B" w14:textId="77777777" w:rsidTr="00E43BAA">
              <w:trPr>
                <w:trHeight w:val="386"/>
              </w:trPr>
              <w:tc>
                <w:tcPr>
                  <w:tcW w:w="547" w:type="dxa"/>
                  <w:vMerge w:val="restart"/>
                </w:tcPr>
                <w:p w14:paraId="3F68DAD3"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3.</w:t>
                  </w:r>
                </w:p>
              </w:tc>
              <w:tc>
                <w:tcPr>
                  <w:tcW w:w="3198" w:type="dxa"/>
                  <w:vMerge w:val="restart"/>
                </w:tcPr>
                <w:p w14:paraId="349FB0F0"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6D53AA52" w14:textId="77777777" w:rsidR="00F47BCB" w:rsidRDefault="00F47BCB" w:rsidP="00E43BAA">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3DBA0267" w14:textId="77777777" w:rsidR="00F47BCB" w:rsidRDefault="00F47BCB" w:rsidP="00E43BAA">
                  <w:pPr>
                    <w:rPr>
                      <w:rFonts w:ascii="Arial Narrow" w:hAnsi="Arial Narrow" w:cs="Calibri"/>
                      <w:sz w:val="22"/>
                      <w:szCs w:val="22"/>
                      <w:lang w:val="id-ID"/>
                    </w:rPr>
                  </w:pPr>
                  <w:r>
                    <w:rPr>
                      <w:rFonts w:ascii="Arial Narrow" w:hAnsi="Arial Narrow" w:cs="Arial"/>
                      <w:sz w:val="22"/>
                      <w:szCs w:val="22"/>
                      <w:lang w:val="id-ID"/>
                    </w:rPr>
                    <w:t>Pemantauan Manual :</w:t>
                  </w:r>
                  <w:r>
                    <w:rPr>
                      <w:rFonts w:ascii="Arial Narrow" w:hAnsi="Arial Narrow" w:cs="Arial"/>
                      <w:b/>
                      <w:color w:val="000000"/>
                      <w:sz w:val="22"/>
                      <w:szCs w:val="22"/>
                      <w:lang w:val="id-ID"/>
                    </w:rPr>
                    <w:t xml:space="preserve"> </w:t>
                  </w:r>
                </w:p>
                <w:p w14:paraId="23FAF193" w14:textId="77777777" w:rsidR="00F47BCB" w:rsidRPr="00BD6583" w:rsidRDefault="00F47BCB" w:rsidP="00E43BAA">
                  <w:pPr>
                    <w:rPr>
                      <w:sz w:val="22"/>
                      <w:szCs w:val="22"/>
                      <w:lang w:val="id-ID"/>
                    </w:rPr>
                  </w:pPr>
                  <w:r>
                    <w:rPr>
                      <w:rFonts w:ascii="Arial Narrow" w:hAnsi="Arial Narrow" w:cs="Calibri"/>
                      <w:sz w:val="22"/>
                      <w:szCs w:val="22"/>
                      <w:lang w:val="id-ID"/>
                    </w:rPr>
                    <w:t>
                      Parameter yang dipantau sesuai dengan
                      <w:br/>
                       - KEPUTUSAN MENTERI NEGARA LINGKUNGAN HIDUP NOMOR 13 TAHUN 1995
                      <w:br/>
                       - PERATURAN MENTERI LINGKUNGAN HIDUP NOMOR 4 TAHUN 2014
                    </w:t>
                  </w:r>
                </w:p>
              </w:tc>
            </w:tr>
            <w:tr w:rsidR="00F47BCB" w14:paraId="4E028D8A" w14:textId="77777777" w:rsidTr="00E43BAA">
              <w:trPr>
                <w:trHeight w:val="386"/>
              </w:trPr>
              <w:tc>
                <w:tcPr>
                  <w:tcW w:w="547" w:type="dxa"/>
                  <w:vMerge/>
                </w:tcPr>
                <w:p w14:paraId="76A6377F" w14:textId="77777777" w:rsidR="00F47BCB" w:rsidRDefault="00F47BCB" w:rsidP="00E43BAA">
                  <w:pPr>
                    <w:jc w:val="center"/>
                    <w:rPr>
                      <w:rFonts w:ascii="Arial Narrow" w:hAnsi="Arial Narrow"/>
                      <w:sz w:val="22"/>
                      <w:szCs w:val="22"/>
                      <w:lang w:val="fi-FI"/>
                    </w:rPr>
                  </w:pPr>
                </w:p>
              </w:tc>
              <w:tc>
                <w:tcPr>
                  <w:tcW w:w="3198" w:type="dxa"/>
                  <w:vMerge/>
                </w:tcPr>
                <w:p w14:paraId="61ABEC1C" w14:textId="77777777" w:rsidR="00F47BCB" w:rsidRDefault="00F47BCB" w:rsidP="00E43BAA">
                  <w:pPr>
                    <w:rPr>
                      <w:rFonts w:ascii="Arial Narrow" w:hAnsi="Arial Narrow"/>
                      <w:sz w:val="22"/>
                      <w:szCs w:val="22"/>
                      <w:lang w:val="fi-FI"/>
                    </w:rPr>
                  </w:pPr>
                </w:p>
              </w:tc>
              <w:tc>
                <w:tcPr>
                  <w:tcW w:w="1134" w:type="dxa"/>
                </w:tcPr>
                <w:p w14:paraId="1B8DDA72" w14:textId="77777777" w:rsidR="00F47BCB" w:rsidRDefault="00F47BCB" w:rsidP="00E43BAA">
                  <w:pPr>
                    <w:tabs>
                      <w:tab w:val="left" w:pos="388"/>
                      <w:tab w:val="center" w:pos="548"/>
                    </w:tabs>
                    <w:jc w:val="center"/>
                    <w:rPr>
                      <w:rFonts w:ascii="Arial Narrow" w:hAnsi="Arial Narrow"/>
                      <w:sz w:val="22"/>
                      <w:szCs w:val="22"/>
                      <w:lang w:val="id-ID"/>
                    </w:rPr>
                  </w:pPr>
                  <w:r>
                    <w:rPr>
                      <w:rFonts w:ascii="Arial Narrow" w:hAnsi="Arial Narrow"/>
                      <w:lang w:val="id-ID"/>
                    </w:rPr>
                    <w:t>100%</w:t>
                  </w:r>
                </w:p>
              </w:tc>
              <w:tc>
                <w:tcPr>
                  <w:tcW w:w="4110" w:type="dxa"/>
                </w:tcPr>
                <w:p w14:paraId="2C020CF3"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65B78F55" w14:textId="77777777" w:rsidR="00F47BCB" w:rsidRPr="00BD6583" w:rsidRDefault="00F47BCB" w:rsidP="00E43BAA">
                  <w:pPr>
                    <w:rPr>
                      <w:rFonts w:ascii="Arial Narrow" w:hAnsi="Arial Narrow" w:cs="Calibri"/>
                      <w:sz w:val="22"/>
                      <w:szCs w:val="22"/>
                      <w:lang w:val="id-ID"/>
                    </w:rPr>
                  </w:pPr>
                  <w:r>
                    <w:rPr>
                      <w:rFonts w:ascii="Arial Narrow" w:hAnsi="Arial Narrow" w:cs="Calibri"/>
                      <w:sz w:val="22"/>
                      <w:szCs w:val="22"/>
                      <w:lang w:val="id-ID"/>
                    </w:rPr>
                    <w:t>Parameter yang di pantau sesuai dengan KEPUTUSAN MENTERI NEGARA LINGKUNGAN HIDUP NOMOR 13 TAHUN 1995</w:t>
                  </w:r>
                </w:p>
              </w:tc>
            </w:tr>
            <w:tr w:rsidR="00F47BCB" w14:paraId="0BB2432C" w14:textId="77777777" w:rsidTr="00E43BAA">
              <w:trPr>
                <w:trHeight w:val="386"/>
              </w:trPr>
              <w:tc>
                <w:tcPr>
                  <w:tcW w:w="547" w:type="dxa"/>
                  <w:vMerge w:val="restart"/>
                </w:tcPr>
                <w:p w14:paraId="52FCC2EB"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4.</w:t>
                  </w:r>
                </w:p>
              </w:tc>
              <w:tc>
                <w:tcPr>
                  <w:tcW w:w="3198" w:type="dxa"/>
                  <w:vMerge w:val="restart"/>
                </w:tcPr>
                <w:p w14:paraId="45CE9EC4"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22ADA689" w14:textId="77777777" w:rsidR="00F47BCB" w:rsidRDefault="00F47BCB" w:rsidP="00E43BAA">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7ADAADBB" w14:textId="77777777" w:rsidR="00F47BCB" w:rsidRDefault="00F47BCB" w:rsidP="00E43BAA">
                  <w:pPr>
                    <w:rPr>
                      <w:rFonts w:ascii="Arial Narrow" w:hAnsi="Arial Narrow"/>
                      <w:bCs/>
                      <w:sz w:val="22"/>
                      <w:szCs w:val="22"/>
                      <w:lang w:val="id-ID"/>
                    </w:rPr>
                  </w:pPr>
                  <w:r>
                    <w:rPr>
                      <w:rFonts w:ascii="Arial Narrow" w:hAnsi="Arial Narrow"/>
                      <w:bCs/>
                      <w:sz w:val="22"/>
                      <w:szCs w:val="22"/>
                      <w:lang w:val="id-ID"/>
                    </w:rPr>
                    <w:t xml:space="preserve">Pemantauan </w:t>
                  </w:r>
                  <w:r>
                    <w:rPr>
                      <w:rFonts w:ascii="Arial Narrow" w:hAnsi="Arial Narrow"/>
                      <w:bCs/>
                      <w:sz w:val="22"/>
                      <w:szCs w:val="22"/>
                    </w:rPr>
                    <w:t>M</w:t>
                  </w:r>
                  <w:r>
                    <w:rPr>
                      <w:rFonts w:ascii="Arial Narrow" w:hAnsi="Arial Narrow"/>
                      <w:bCs/>
                      <w:sz w:val="22"/>
                      <w:szCs w:val="22"/>
                      <w:lang w:val="id-ID"/>
                    </w:rPr>
                    <w:t>anual :</w:t>
                  </w:r>
                </w:p>
                <w:p w14:paraId="3247E894" w14:textId="77777777" w:rsidR="00F47BCB" w:rsidRDefault="00F47BCB" w:rsidP="00E43BAA">
                  <w:pPr>
                    <w:rPr>
                      <w:rFonts w:ascii="Arial Narrow" w:hAnsi="Arial Narrow" w:cs="Calibri"/>
                      <w:sz w:val="22"/>
                      <w:szCs w:val="22"/>
                      <w:lang w:val="id-ID"/>
                    </w:rPr>
                  </w:pPr>
                  <w:r>
                    <w:rPr>
                      <w:rFonts w:ascii="Arial Narrow" w:hAnsi="Arial Narrow"/>
                      <w:bCs/>
                      <w:sz w:val="22"/>
                      <w:szCs w:val="22"/>
                      <w:lang w:val="id-ID"/>
                    </w:rPr>
                    <w:t>
                      Hasil pemantauan emisi memenuhi baku mutu 
                      <w:br/>
                       -KEPUTUSAN MENTERI NEGARA LINGKUNGAN HIDUP NOMOR 13 TAHUN 1995
                      <w:br/>
                       -PERATURAN MENTERI LINGKUNGAN HIDUP NOMOR 4 TAHUN 2014
                    </w:t>
                  </w:r>
                </w:p>
              </w:tc>
            </w:tr>
            <w:tr w:rsidR="00F47BCB" w14:paraId="40FD24BE" w14:textId="77777777" w:rsidTr="00E43BAA">
              <w:trPr>
                <w:trHeight w:val="386"/>
              </w:trPr>
              <w:tc>
                <w:tcPr>
                  <w:tcW w:w="547" w:type="dxa"/>
                  <w:vMerge/>
                </w:tcPr>
                <w:p w14:paraId="50C79473" w14:textId="77777777" w:rsidR="00F47BCB" w:rsidRDefault="00F47BCB" w:rsidP="00E43BAA">
                  <w:pPr>
                    <w:jc w:val="center"/>
                    <w:rPr>
                      <w:rFonts w:ascii="Arial Narrow" w:hAnsi="Arial Narrow"/>
                      <w:sz w:val="22"/>
                      <w:szCs w:val="22"/>
                      <w:lang w:val="fi-FI"/>
                    </w:rPr>
                  </w:pPr>
                </w:p>
              </w:tc>
              <w:tc>
                <w:tcPr>
                  <w:tcW w:w="3198" w:type="dxa"/>
                  <w:vMerge/>
                </w:tcPr>
                <w:p w14:paraId="1396D2BA" w14:textId="77777777" w:rsidR="00F47BCB" w:rsidRDefault="00F47BCB" w:rsidP="00E43BAA">
                  <w:pPr>
                    <w:rPr>
                      <w:rFonts w:ascii="Arial Narrow" w:hAnsi="Arial Narrow"/>
                      <w:sz w:val="22"/>
                      <w:szCs w:val="22"/>
                      <w:lang w:val="fi-FI"/>
                    </w:rPr>
                  </w:pPr>
                </w:p>
              </w:tc>
              <w:tc>
                <w:tcPr>
                  <w:tcW w:w="1134" w:type="dxa"/>
                </w:tcPr>
                <w:p w14:paraId="1C1EDFF9" w14:textId="77777777" w:rsidR="00F47BCB" w:rsidRDefault="00F47BCB" w:rsidP="00E43BAA">
                  <w:pPr>
                    <w:tabs>
                      <w:tab w:val="left" w:pos="388"/>
                      <w:tab w:val="center" w:pos="548"/>
                    </w:tabs>
                    <w:jc w:val="center"/>
                    <w:rPr>
                      <w:rFonts w:ascii="Arial Narrow" w:hAnsi="Arial Narrow"/>
                      <w:bCs/>
                      <w:color w:val="FF0000"/>
                      <w:sz w:val="22"/>
                      <w:szCs w:val="22"/>
                      <w:lang w:val="id-ID"/>
                    </w:rPr>
                  </w:pPr>
                  <w:r>
                    <w:rPr>
                      <w:rFonts w:ascii="Arial Narrow" w:hAnsi="Arial Narrow"/>
                      <w:lang w:val="id-ID"/>
                    </w:rPr>
                    <w:t>100%</w:t>
                  </w:r>
                </w:p>
              </w:tc>
              <w:tc>
                <w:tcPr>
                  <w:tcW w:w="4110" w:type="dxa"/>
                </w:tcPr>
                <w:p w14:paraId="678301FC" w14:textId="77777777" w:rsidR="00F47BCB" w:rsidRDefault="00F47BCB" w:rsidP="00E43BAA">
                  <w:pPr>
                    <w:rPr>
                      <w:rFonts w:ascii="Arial Narrow" w:hAnsi="Arial Narrow" w:cs="Calibri"/>
                      <w:sz w:val="22"/>
                      <w:szCs w:val="22"/>
                      <w:lang w:val="id-ID"/>
                    </w:rPr>
                  </w:pPr>
                  <w:r>
                    <w:rPr>
                      <w:rFonts w:ascii="Arial Narrow" w:hAnsi="Arial Narrow" w:cs="Calibri"/>
                      <w:sz w:val="22"/>
                      <w:szCs w:val="22"/>
                      <w:lang w:val="id-ID"/>
                    </w:rPr>
                    <w:t>Pemantauan CEMS :</w:t>
                  </w:r>
                </w:p>
                <w:p w14:paraId="27F01909" w14:textId="77777777" w:rsidR="00F47BCB" w:rsidRPr="00BD6583" w:rsidRDefault="00F47BCB" w:rsidP="00E43BAA">
                  <w:pPr>
                    <w:rPr>
                      <w:rFonts w:ascii="Arial Narrow" w:hAnsi="Arial Narrow"/>
                      <w:bCs/>
                      <w:sz w:val="22"/>
                      <w:szCs w:val="22"/>
                      <w:lang w:val="id-ID"/>
                    </w:rPr>
                  </w:pPr>
                  <w:r>
                    <w:rPr>
                      <w:rFonts w:ascii="Arial Narrow" w:hAnsi="Arial Narrow" w:cs="Calibri"/>
                      <w:sz w:val="22"/>
                      <w:szCs w:val="22"/>
                      <w:lang w:val="id-ID"/>
                    </w:rPr>
                    <w:t>
                      Oven Kokas
                      <w:br/>
                       TRIWULAN 2 : 100%  
                      <w:br/>
                      <w:br/>
                      Pembakaran Kapur 2
                      <w:br/>
                       TRIWULAN 2 : 100%  
                      <w:br/>
                      <w:br/>
                      Blast Furnace
                      <w:br/>
                       TRIWULAN 2 : 100%  
                      <w:br/>
                      <w:br/>
                      Converter
                      <w:br/>
                       TRIWULAN 2 : 100%  
                      <w:br/>
                      <w:br/>
                      PLTGU 
                      <w:br/>
                       TRIWULAN 2 : 100%  
                      <w:br/>
                      <w:br/>
                    </w:t>
                  </w:r>
                </w:p>
              </w:tc>
            </w:tr>
            <w:tr w:rsidR="00F47BCB" w14:paraId="7D10E7FF" w14:textId="77777777" w:rsidTr="00E43BAA">
              <w:trPr>
                <w:trHeight w:val="726"/>
              </w:trPr>
              <w:tc>
                <w:tcPr>
                  <w:tcW w:w="547" w:type="dxa"/>
                  <w:vMerge w:val="restart"/>
                </w:tcPr>
                <w:p w14:paraId="4A7768E3"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5.</w:t>
                  </w:r>
                </w:p>
              </w:tc>
              <w:tc>
                <w:tcPr>
                  <w:tcW w:w="3198" w:type="dxa"/>
                  <w:vMerge w:val="restart"/>
                </w:tcPr>
                <w:p w14:paraId="61FF9A77"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D5A471"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TAAT</w:t>
                  </w:r>
                </w:p>
                <w:p w14:paraId="10125B65" w14:textId="77777777" w:rsidR="00F47BCB" w:rsidRDefault="00F47BCB" w:rsidP="00E43BAA">
                  <w:pPr>
                    <w:jc w:val="center"/>
                    <w:rPr>
                      <w:rFonts w:ascii="Arial Narrow" w:hAnsi="Arial Narrow"/>
                      <w:sz w:val="22"/>
                      <w:szCs w:val="22"/>
                      <w:lang w:val="fi-FI"/>
                    </w:rPr>
                  </w:pPr>
                </w:p>
              </w:tc>
              <w:tc>
                <w:tcPr>
                  <w:tcW w:w="4110" w:type="dxa"/>
                </w:tcPr>
                <w:p w14:paraId="2B48EB17" w14:textId="77777777" w:rsidR="00F47BCB" w:rsidRPr="00303F35" w:rsidRDefault="00F47BCB" w:rsidP="00E43BAA">
                  <w:pPr>
                    <w:rPr>
                      <w:rFonts w:ascii="Arial Narrow" w:hAnsi="Arial Narrow"/>
                      <w:bCs/>
                      <w:sz w:val="22"/>
                      <w:szCs w:val="22"/>
                    </w:rPr>
                  </w:pPr>
                  <w:r>
                    <w:rPr>
                      <w:rFonts w:ascii="Arial Narrow" w:hAnsi="Arial Narrow"/>
                      <w:bCs/>
                      <w:sz w:val="22"/>
                      <w:szCs w:val="22"/>
                    </w:rPr>
                    <w:t>Pemantauan Manual :</w:t>
                  </w:r>
                </w:p>
                <w:p w14:paraId="276F8A14" w14:textId="77777777" w:rsidR="00F47BCB" w:rsidRPr="00BD6583" w:rsidRDefault="00F47BCB" w:rsidP="00E43BAA">
                  <w:pPr>
                    <w:rPr>
                      <w:rFonts w:ascii="Arial Narrow" w:hAnsi="Arial Narrow"/>
                      <w:sz w:val="22"/>
                      <w:szCs w:val="22"/>
                      <w:lang w:val="id-ID"/>
                    </w:rPr>
                  </w:pPr>
                  <w:r w:rsidRPr="00BD6583">
                    <w:rPr>
                      <w:rFonts w:ascii="Arial Narrow" w:hAnsi="Arial Narrow"/>
                      <w:bCs/>
                      <w:sz w:val="22"/>
                      <w:szCs w:val="22"/>
                      <w:lang w:val="id-ID"/>
                    </w:rPr>
                    <w:t>Perusahaan telah memenuhi ketentuan teknis sesuai peraturan yang berlaku.</w:t>
                  </w:r>
                </w:p>
              </w:tc>
            </w:tr>
            <w:tr w:rsidR="00F47BCB" w14:paraId="1480CDBD" w14:textId="77777777" w:rsidTr="00E43BAA">
              <w:trPr>
                <w:trHeight w:val="697"/>
              </w:trPr>
              <w:tc>
                <w:tcPr>
                  <w:tcW w:w="547" w:type="dxa"/>
                  <w:vMerge/>
                </w:tcPr>
                <w:p w14:paraId="0CA10D76" w14:textId="77777777" w:rsidR="00F47BCB" w:rsidRDefault="00F47BCB" w:rsidP="00E43BAA">
                  <w:pPr>
                    <w:jc w:val="center"/>
                    <w:rPr>
                      <w:rFonts w:ascii="Arial Narrow" w:hAnsi="Arial Narrow"/>
                      <w:sz w:val="22"/>
                      <w:szCs w:val="22"/>
                      <w:lang w:val="fi-FI"/>
                    </w:rPr>
                  </w:pPr>
                </w:p>
              </w:tc>
              <w:tc>
                <w:tcPr>
                  <w:tcW w:w="3198" w:type="dxa"/>
                  <w:vMerge/>
                </w:tcPr>
                <w:p w14:paraId="198E2A08" w14:textId="77777777" w:rsidR="00F47BCB" w:rsidRDefault="00F47BCB" w:rsidP="00E43BAA">
                  <w:pPr>
                    <w:rPr>
                      <w:rFonts w:ascii="Arial Narrow" w:hAnsi="Arial Narrow"/>
                      <w:sz w:val="22"/>
                      <w:szCs w:val="22"/>
                      <w:lang w:val="fi-FI"/>
                    </w:rPr>
                  </w:pPr>
                </w:p>
              </w:tc>
              <w:tc>
                <w:tcPr>
                  <w:tcW w:w="1134" w:type="dxa"/>
                </w:tcPr>
                <w:p w14:paraId="7DEF374A"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5D290F89" w14:textId="77777777" w:rsidR="00F47BCB" w:rsidRDefault="00F47BCB" w:rsidP="00E43BAA">
                  <w:pPr>
                    <w:rPr>
                      <w:rFonts w:ascii="Arial Narrow" w:hAnsi="Arial Narrow"/>
                      <w:bCs/>
                      <w:sz w:val="22"/>
                      <w:szCs w:val="22"/>
                    </w:rPr>
                  </w:pPr>
                  <w:r>
                    <w:rPr>
                      <w:rFonts w:ascii="Arial Narrow" w:hAnsi="Arial Narrow"/>
                      <w:bCs/>
                      <w:sz w:val="22"/>
                      <w:szCs w:val="22"/>
                    </w:rPr>
                    <w:t>Pemantauan CEMS :</w:t>
                  </w:r>
                </w:p>
                <w:p w14:paraId="0B45EC24" w14:textId="77777777" w:rsidR="00F47BCB" w:rsidRPr="00303F35" w:rsidRDefault="00F47BCB" w:rsidP="00E43BAA">
                  <w:pPr>
                    <w:rPr>
                      <w:rFonts w:ascii="Arial Narrow" w:hAnsi="Arial Narrow"/>
                      <w:bCs/>
                      <w:sz w:val="22"/>
                      <w:szCs w:val="22"/>
                    </w:rPr>
                  </w:pPr>
                  <w:r>
                    <w:rPr>
                      <w:rFonts w:ascii="Arial Narrow" w:hAnsi="Arial Narrow"/>
                      <w:bCs/>
                      <w:sz w:val="22"/>
                      <w:szCs w:val="22"/>
                    </w:rPr>
                    <w:t>Perusahaan taat terhadap ketentuan teknis</w:t>
                  </w:r>
                </w:p>
              </w:tc>
            </w:tr>
            <w:tr w:rsidR="00F47BCB" w14:paraId="3EE33BFB" w14:textId="77777777" w:rsidTr="00E43BAA">
              <w:trPr>
                <w:trHeight w:val="299"/>
              </w:trPr>
              <w:tc>
                <w:tcPr>
                  <w:tcW w:w="547" w:type="dxa"/>
                </w:tcPr>
                <w:p w14:paraId="2C618907"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34D2A251"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FA9CFED"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009A6A0E" w14:textId="77777777" w:rsidR="00F47BCB" w:rsidRDefault="00F47BCB" w:rsidP="00E43BAA">
                  <w:pPr>
                    <w:rPr>
                      <w:rFonts w:ascii="Arial Narrow" w:hAnsi="Arial Narrow"/>
                      <w:bCs/>
                      <w:sz w:val="22"/>
                      <w:szCs w:val="22"/>
                    </w:rPr>
                  </w:pPr>
                  <w:r>
                    <w:rPr>
                      <w:rFonts w:ascii="Arial Narrow" w:hAnsi="Arial Narrow"/>
                      <w:bCs/>
                      <w:sz w:val="22"/>
                      <w:szCs w:val="22"/>
                    </w:rPr>
                    <w:t>
                      Perusahaan telah memiliki personil yang bertanggung jawab dan kompeten dalam Pengendalian Pencemaran Udara
                      <w:br/>
                      <w:br/>
                      Penanggung Jawab PPU  
                      <w:br/>
                       Nama Personil : RAFDI RABBANI DATU PALINGE
                      <w:br/>
                       Nomor Sertifikat : 743212133000001772022
                      <w:br/>
                       Nama LSP : LEMBAGA SERTIFIKASI PROFESI LINGKUNGAN HIDUP ENVIROTAMA
                      <w:br/>
                       Masa Berlaku  : 2022-11-14 s/d 2025-11-14
                      <w:br/>
                      <w:br/>
                      Operator PPU  
                      <w:br/>
                       Nama Personil : Agus Salim
                      <w:br/>
                       Nomor Sertifikat : 743212133000001872022
                      <w:br/>
                       Nama LSP : LEMBAGA SERTIFIKASI PROFESI LINGKUNGAN HIDUP ENVIROTAMA
                      <w:br/>
                       Masa Berlaku  : 2022-11-14 s/d 2025-11-14
                    </w:t>
                  </w:r>
                </w:p>
              </w:tc>
            </w:tr>
            <w:tr w:rsidR="00F47BCB" w14:paraId="4EE88E8B" w14:textId="77777777" w:rsidTr="00E43BAA">
              <w:trPr>
                <w:trHeight w:val="299"/>
              </w:trPr>
              <w:tc>
                <w:tcPr>
                  <w:tcW w:w="547" w:type="dxa"/>
                </w:tcPr>
                <w:p w14:paraId="2E80DC0F"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20870285"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76785E56"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02C80806" w14:textId="77777777" w:rsidR="00F47BCB" w:rsidRPr="001C637F" w:rsidRDefault="00F47BCB" w:rsidP="00E43BAA">
                  <w:pPr>
                    <w:rPr>
                      <w:rFonts w:ascii="Arial Narrow" w:hAnsi="Arial Narrow"/>
                      <w:bCs/>
                      <w:sz w:val="22"/>
                      <w:szCs w:val="22"/>
                    </w:rPr>
                  </w:pPr>
                  <w:r>
                    <w:rPr>
                      <w:rFonts w:ascii="Arial Narrow" w:hAnsi="Arial Narrow"/>
                      <w:bCs/>
                      <w:sz w:val="22"/>
                      <w:szCs w:val="22"/>
                    </w:rPr>
                    <w:t>Perusahaan taat terhadap pelaporan ambien</w:t>
                  </w:r>
                </w:p>
              </w:tc>
            </w:tr>
            <w:tr w:rsidR="00F47BCB" w14:paraId="0B3C7FD9" w14:textId="77777777" w:rsidTr="00E43BAA">
              <w:trPr>
                <w:trHeight w:val="299"/>
              </w:trPr>
              <w:tc>
                <w:tcPr>
                  <w:tcW w:w="547" w:type="dxa"/>
                </w:tcPr>
                <w:p w14:paraId="4AB14576"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lastRenderedPageBreak/>
                    <w:t>8</w:t>
                  </w:r>
                </w:p>
              </w:tc>
              <w:tc>
                <w:tcPr>
                  <w:tcW w:w="3198" w:type="dxa"/>
                </w:tcPr>
                <w:p w14:paraId="0DC29DFB"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7E335F0D"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3D270C2" w14:textId="77777777" w:rsidR="00F47BCB" w:rsidRPr="001C637F" w:rsidRDefault="00F47BCB" w:rsidP="00E43BAA">
                  <w:pPr>
                    <w:rPr>
                      <w:rFonts w:ascii="Arial Narrow" w:hAnsi="Arial Narrow"/>
                      <w:bCs/>
                      <w:sz w:val="22"/>
                      <w:szCs w:val="22"/>
                    </w:rPr>
                  </w:pPr>
                  <w:r>
                    <w:rPr>
                      <w:rFonts w:ascii="Arial Narrow" w:hAnsi="Arial Narrow"/>
                      <w:bCs/>
                      <w:sz w:val="22"/>
                      <w:szCs w:val="22"/>
                    </w:rPr>
                    <w:t>Perusahaan taat terhadap pelaporan kebisingan</w:t>
                  </w:r>
                </w:p>
              </w:tc>
            </w:tr>
            <w:tr w:rsidR="00F47BCB" w14:paraId="1F86D78C" w14:textId="77777777" w:rsidTr="00E43BAA">
              <w:trPr>
                <w:trHeight w:val="299"/>
              </w:trPr>
              <w:tc>
                <w:tcPr>
                  <w:tcW w:w="547" w:type="dxa"/>
                </w:tcPr>
                <w:p w14:paraId="2B01523E"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6CBCE704" w14:textId="77777777" w:rsidR="00F47BCB" w:rsidRDefault="00F47BCB" w:rsidP="00E43BAA">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25F78422" w14:textId="77777777" w:rsidR="00F47BCB" w:rsidRDefault="00F47BCB" w:rsidP="00E43BAA">
                  <w:pPr>
                    <w:jc w:val="center"/>
                    <w:rPr>
                      <w:rFonts w:ascii="Arial Narrow" w:hAnsi="Arial Narrow"/>
                      <w:sz w:val="22"/>
                      <w:szCs w:val="22"/>
                      <w:lang w:val="fi-FI"/>
                    </w:rPr>
                  </w:pPr>
                  <w:r>
                    <w:rPr>
                      <w:rFonts w:ascii="Arial Narrow" w:hAnsi="Arial Narrow"/>
                      <w:sz w:val="22"/>
                      <w:szCs w:val="22"/>
                      <w:lang w:val="fi-FI"/>
                    </w:rPr>
                    <w:t>-%</w:t>
                  </w:r>
                </w:p>
              </w:tc>
              <w:tc>
                <w:tcPr>
                  <w:tcW w:w="4110" w:type="dxa"/>
                </w:tcPr>
                <w:p w14:paraId="2394D39C" w14:textId="77777777" w:rsidR="00F47BCB" w:rsidRPr="001C637F" w:rsidRDefault="00F47BCB" w:rsidP="00E43BAA">
                  <w:pPr>
                    <w:rPr>
                      <w:rFonts w:ascii="Arial Narrow" w:hAnsi="Arial Narrow"/>
                      <w:bCs/>
                      <w:sz w:val="22"/>
                      <w:szCs w:val="22"/>
                    </w:rPr>
                  </w:pPr>
                  <w:r>
                    <w:rPr>
                      <w:rFonts w:ascii="Arial Narrow" w:hAnsi="Arial Narrow"/>
                      <w:bCs/>
                      <w:sz w:val="22"/>
                      <w:szCs w:val="22"/>
                    </w:rPr>
                    <w:t>Tidak dilakukan penilaian ketaatan terhadap kebauan karena berdasarkan dokumen lingkungan perusahaan tidak memiliki kewajiban pemantauan kebauan</w:t>
                  </w:r>
                </w:p>
              </w:tc>
            </w:tr>
          </w:tbl>
          <w:p w14:paraId="1307E177" w14:textId="77777777" w:rsidR="00F47BCB" w:rsidRDefault="00F47BCB" w:rsidP="00E43BAA">
            <w:pPr>
              <w:ind w:left="34"/>
              <w:rPr>
                <w:rFonts w:ascii="Arial Narrow" w:hAnsi="Arial Narrow"/>
                <w:b/>
                <w:color w:val="000000"/>
                <w:sz w:val="12"/>
                <w:szCs w:val="12"/>
                <w:lang w:val="sv-SE"/>
              </w:rPr>
            </w:pPr>
          </w:p>
          <w:p w14:paraId="30615046" w14:textId="77777777" w:rsidR="00F47BCB" w:rsidRDefault="00F47BCB" w:rsidP="00E43BAA">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20515031" w14:textId="77777777" w:rsidR="00F47BCB" w:rsidRDefault="00F47BCB" w:rsidP="00E43BAA">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r>
              <w:rPr>
                <w:rFonts w:ascii="Arial Narrow" w:hAnsi="Arial Narrow"/>
                <w:b/>
                <w:color w:val="000000"/>
                <w:lang w:val="id-ID"/>
              </w:rPr>
              <w:t xml:space="preserve"> </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3834"/>
              <w:gridCol w:w="3969"/>
            </w:tblGrid>
            <w:tr w:rsidR="00F47BCB" w14:paraId="4CF34361" w14:textId="77777777" w:rsidTr="00E43BAA">
              <w:tc>
                <w:tcPr>
                  <w:tcW w:w="739" w:type="dxa"/>
                  <w:shd w:val="clear" w:color="auto" w:fill="D9D9D9"/>
                </w:tcPr>
                <w:p w14:paraId="6A7E3B91" w14:textId="77777777" w:rsidR="00F47BCB" w:rsidRDefault="00F47BCB" w:rsidP="00E43BAA">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3834" w:type="dxa"/>
                  <w:shd w:val="clear" w:color="auto" w:fill="D9D9D9"/>
                </w:tcPr>
                <w:p w14:paraId="07C02CBB" w14:textId="77777777" w:rsidR="00F47BCB" w:rsidRDefault="00F47BCB" w:rsidP="00E43BAA">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280A97E" w14:textId="77777777" w:rsidR="00F47BCB" w:rsidRDefault="00F47BCB" w:rsidP="00E43BAA">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Amoniak (NH3)</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2</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Antimon (Sb)</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13.67</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3</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Arsen (As)</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13.67</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4</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Gas Klorin (Cl2)</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1.25</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5</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Hidrogen Fluorida (HF)</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6</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Hidrogen Klorida (HCl)</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0.69</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7</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Hidrogen Sulfida (H2S)</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72.66</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8</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Kadmium (Cd)</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13.67</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9</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Merkuri (Hg)</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13.67</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10</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Nitrogen Oksida (NOx)</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6148.1</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11</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Partikulat (PM)</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3904.42</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12</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Seng (Zn)</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13.75</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13</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Sulfur Dioksida (SO2)</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2417.6</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14</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Timah Hitam (Pb)</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13.67</w:t>
                  </w:r>
                </w:p>
              </w:tc>
            </w:tr>
            <w:tr w:rsidR="00F47BCB" w14:paraId="65E3C54A" w14:textId="77777777" w:rsidTr="00E43BAA">
              <w:tc>
                <w:tcPr>
                  <w:tcW w:w="739" w:type="dxa"/>
                </w:tcPr>
                <w:p w14:paraId="2B6CBCC7" w14:textId="77777777" w:rsidR="00F47BCB" w:rsidRDefault="00F47BCB" w:rsidP="00E43BAA">
                  <w:pPr>
                    <w:tabs>
                      <w:tab w:val="left" w:pos="492"/>
                    </w:tabs>
                    <w:rPr>
                      <w:rFonts w:ascii="Arial Narrow" w:hAnsi="Arial Narrow"/>
                      <w:color w:val="000000"/>
                      <w:sz w:val="22"/>
                      <w:szCs w:val="22"/>
                      <w:lang w:val="id-ID"/>
                    </w:rPr>
                  </w:pPr>
                  <w:r>
                    <w:rPr>
                      <w:rFonts w:ascii="Arial Narrow" w:hAnsi="Arial Narrow"/>
                      <w:color w:val="000000"/>
                      <w:sz w:val="22"/>
                      <w:szCs w:val="22"/>
                      <w:lang w:val="id-ID"/>
                    </w:rPr>
                    <w:t>15</w:t>
                  </w:r>
                </w:p>
              </w:tc>
              <w:tc>
                <w:tcPr>
                  <w:tcW w:w="3834" w:type="dxa"/>
                </w:tcPr>
                <w:p w14:paraId="0592DE49" w14:textId="77777777" w:rsidR="00F47BCB" w:rsidRDefault="00F47BCB" w:rsidP="00E43BAA">
                  <w:pPr>
                    <w:tabs>
                      <w:tab w:val="left" w:pos="492"/>
                    </w:tabs>
                    <w:jc w:val="center"/>
                    <w:rPr>
                      <w:rFonts w:ascii="Arial Narrow" w:hAnsi="Arial Narrow"/>
                      <w:color w:val="000000"/>
                      <w:sz w:val="22"/>
                      <w:szCs w:val="22"/>
                    </w:rPr>
                  </w:pPr>
                  <w:r>
                    <w:rPr>
                      <w:rFonts w:ascii="Arial Narrow" w:hAnsi="Arial Narrow"/>
                      <w:color w:val="000000"/>
                      <w:sz w:val="22"/>
                      <w:szCs w:val="22"/>
                      <w:lang w:val="id-ID"/>
                    </w:rPr>
                    <w:t>Fe</w:t>
                  </w:r>
                </w:p>
              </w:tc>
              <w:tc>
                <w:tcPr>
                  <w:tcW w:w="3969" w:type="dxa"/>
                </w:tcPr>
                <w:p w14:paraId="6E664EA3" w14:textId="77777777" w:rsidR="00F47BCB" w:rsidRPr="00CF0A6B" w:rsidRDefault="00F47BCB" w:rsidP="00E43BAA">
                  <w:pPr>
                    <w:jc w:val="center"/>
                    <w:rPr>
                      <w:rFonts w:ascii="Arial Narrow" w:hAnsi="Arial Narrow" w:cs="Arial Narrow"/>
                      <w:color w:val="000000"/>
                      <w:sz w:val="22"/>
                      <w:szCs w:val="22"/>
                      <w:lang w:val="id-ID"/>
                    </w:rPr>
                  </w:pPr>
                  <w:r>
                    <w:rPr>
                      <w:rFonts w:ascii="Arial Narrow" w:hAnsi="Arial Narrow" w:cs="Arial Narrow"/>
                      <w:color w:val="000000"/>
                      <w:sz w:val="22"/>
                      <w:szCs w:val="22"/>
                      <w:lang w:val="id-ID"/>
                    </w:rPr>
                    <w:t>0.1</w:t>
                  </w:r>
                </w:p>
              </w:tc>
            </w:tr>
          </w:tbl>
          <w:p w14:paraId="6E148E4F" w14:textId="77777777" w:rsidR="00F47BCB" w:rsidRDefault="00F47BCB" w:rsidP="00E43BAA">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25A45227" w14:textId="77777777" w:rsidR="00F47BCB" w:rsidRDefault="00F47BCB" w:rsidP="00E43BAA">
            <w:pPr>
              <w:tabs>
                <w:tab w:val="left" w:pos="492"/>
              </w:tabs>
              <w:ind w:left="342"/>
              <w:rPr>
                <w:rFonts w:ascii="Arial Narrow" w:hAnsi="Arial Narrow"/>
                <w:color w:val="000000"/>
                <w:sz w:val="22"/>
                <w:szCs w:val="22"/>
                <w:lang w:val="id-ID"/>
              </w:rPr>
            </w:pPr>
          </w:p>
          <w:p w14:paraId="2BF079E9" w14:textId="77777777" w:rsidR="00F47BCB" w:rsidRDefault="00F47BCB" w:rsidP="00E43BAA">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 xml:space="preserve">Beban Emisi GRK (ton/tahun)  </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F47BCB" w14:paraId="040E71F7" w14:textId="77777777" w:rsidTr="00E43BAA">
              <w:tc>
                <w:tcPr>
                  <w:tcW w:w="4573" w:type="dxa"/>
                  <w:shd w:val="clear" w:color="auto" w:fill="D9D9D9"/>
                </w:tcPr>
                <w:p w14:paraId="4381AE05" w14:textId="77777777" w:rsidR="00F47BCB" w:rsidRDefault="00F47BCB" w:rsidP="00E43BAA">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60FDCF81" w14:textId="77777777" w:rsidR="00F47BCB" w:rsidRDefault="00F47BCB" w:rsidP="00E43BAA">
                  <w:pPr>
                    <w:tabs>
                      <w:tab w:val="left" w:pos="492"/>
                    </w:tabs>
                    <w:jc w:val="center"/>
                    <w:rPr>
                      <w:rFonts w:ascii="Arial Narrow" w:hAnsi="Arial Narrow"/>
                      <w:b/>
                      <w:sz w:val="22"/>
                      <w:szCs w:val="22"/>
                      <w:lang w:val="id-ID"/>
                    </w:rPr>
                  </w:pPr>
                  <w:r>
                    <w:rPr>
                      <w:rFonts w:ascii="Arial Narrow" w:hAnsi="Arial Narrow"/>
                      <w:b/>
                      <w:sz w:val="22"/>
                      <w:szCs w:val="22"/>
                      <w:lang w:val="id-ID"/>
                    </w:rPr>
                    <w:t>Tahun  2022 </w:t>
                  </w:r>
                </w:p>
              </w:tc>
            </w:tr>
            <w:tr w:rsidR="00F47BCB" w14:paraId="69D5C01D" w14:textId="77777777" w:rsidTr="00E43BAA">
              <w:tc>
                <w:tcPr>
                  <w:tcW w:w="4573" w:type="dxa"/>
                </w:tcPr>
                <w:p w14:paraId="3936CC00" w14:textId="77777777" w:rsidR="00F47BCB" w:rsidRDefault="00F47BCB" w:rsidP="00E43BAA">
                  <w:pPr>
                    <w:tabs>
                      <w:tab w:val="left" w:pos="492"/>
                    </w:tabs>
                    <w:jc w:val="center"/>
                    <w:rPr>
                      <w:rFonts w:ascii="Arial Narrow" w:hAnsi="Arial Narrow"/>
                      <w:sz w:val="22"/>
                      <w:szCs w:val="22"/>
                      <w:lang w:val="id-ID"/>
                    </w:rPr>
                  </w:pPr>
                  <w:r>
                    <w:rPr>
                      <w:rFonts w:ascii="Arial Narrow" w:hAnsi="Arial Narrow"/>
                      <w:sz w:val="22"/>
                      <w:szCs w:val="22"/>
                      <w:lang w:val="id-ID"/>
                    </w:rPr>
                    <w:t>CO2e</w:t>
                  </w:r>
                </w:p>
              </w:tc>
              <w:tc>
                <w:tcPr>
                  <w:tcW w:w="3969" w:type="dxa"/>
                </w:tcPr>
                <w:p w14:paraId="063CE97B" w14:textId="77777777" w:rsidR="00F47BCB" w:rsidRDefault="00F47BCB" w:rsidP="00E43BAA">
                  <w:pPr>
                    <w:jc w:val="center"/>
                    <w:rPr>
                      <w:rFonts w:ascii="Arial Narrow" w:hAnsi="Arial Narrow" w:cs="Calibri"/>
                      <w:sz w:val="22"/>
                      <w:szCs w:val="22"/>
                      <w:lang w:val="id-ID"/>
                    </w:rPr>
                  </w:pPr>
                  <w:r>
                    <w:rPr>
                      <w:rFonts w:ascii="Arial Narrow" w:hAnsi="Arial Narrow" w:cs="Calibri"/>
                      <w:sz w:val="22"/>
                      <w:szCs w:val="22"/>
                      <w:lang w:val="id-ID"/>
                    </w:rPr>
                    <w:t>5313297.98</w:t>
                  </w:r>
                </w:p>
              </w:tc>
            </w:tr>
          </w:tbl>
          <w:p w14:paraId="48380DB9" w14:textId="77777777" w:rsidR="00F47BCB" w:rsidRDefault="00F47BCB" w:rsidP="00E43BAA">
            <w:pPr>
              <w:tabs>
                <w:tab w:val="left" w:pos="492"/>
              </w:tabs>
              <w:ind w:left="308"/>
              <w:rPr>
                <w:rFonts w:ascii="Arial Narrow" w:hAnsi="Arial Narrow"/>
                <w:color w:val="000000"/>
                <w:sz w:val="16"/>
                <w:szCs w:val="16"/>
                <w:lang w:val="id-ID"/>
              </w:rPr>
            </w:pPr>
          </w:p>
          <w:p w14:paraId="29734F58" w14:textId="77777777" w:rsidR="00F47BCB" w:rsidRDefault="00F47BCB" w:rsidP="00E43BAA">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47B7B457" w14:textId="77777777" w:rsidR="00F47BCB" w:rsidRPr="00E51E54" w:rsidRDefault="00F47BCB" w:rsidP="00E43BAA">
            <w:pPr>
              <w:ind w:left="342" w:right="88"/>
              <w:rPr>
                <w:rFonts w:ascii="Arial Narrow" w:hAnsi="Arial Narrow"/>
                <w:lang w:val="id-ID"/>
              </w:rPr>
            </w:pPr>
            <w:r>
              <w:rPr>
                <w:rFonts w:ascii="Arial Narrow" w:hAnsi="Arial Narrow" w:cs="Arial"/>
                <w:lang w:val="id-ID"/>
              </w:rPr>
              <w:t>
                Selama periode penilaian dalam pengendalian pencemaran udara, perusahaan 
                <w:br/>
                 1. taat terhadap titik penaatan Manual dan CEMS, 
                <w:br/>
                 2. taat terhadap pelaporan Manual dan pelaporan CEMS, 
                <w:br/>
                 3. taat terhadap parameter Manual dan CEMS, 
                <w:br/>
                 4. taat terhadap pemenuhan baku mutu Manual dan CEMS, 
                <w:br/>
                 5. taat terhadap ketentuan teknis dan CEMS, 
                <w:br/>
                 6. taat terhadap kompetensi personil,
                <w:br/>
                 7. taat terhadap pemantauan Ambien,
                <w:br/>
                 8. taat terhadap pemantauan Kebisingan,
                <w:br/>
                 9. Tidak dilakukan penilaian ketaatan terhadap kebauan karena berdasarkan dokumen lingkungan perusahaan tidak memiliki kewajiban pemantauan kebauan Kebauan
              </w:t>
            </w:r>
          </w:p>
          <w:p w14:paraId="6D8E517C" w14:textId="77777777" w:rsidR="00F47BCB" w:rsidRPr="008B09CD" w:rsidRDefault="00F47BCB" w:rsidP="00E43BAA">
            <w:pPr>
              <w:pStyle w:val="Style14"/>
              <w:numPr>
                <w:ilvl w:val="0"/>
                <w:numId w:val="1"/>
              </w:numPr>
              <w:tabs>
                <w:tab w:val="clear" w:pos="720"/>
              </w:tabs>
              <w:ind w:left="318" w:hanging="284"/>
              <w:jc w:val="both"/>
              <w:rPr>
                <w:rFonts w:ascii="Arial Narrow" w:hAnsi="Arial Narrow"/>
                <w:sz w:val="22"/>
                <w:szCs w:val="22"/>
                <w:lang w:val="id-ID"/>
              </w:rPr>
            </w:pPr>
            <w:r>
              <w:rPr>
                <w:rFonts w:ascii="Arial Narrow" w:hAnsi="Arial Narrow"/>
                <w:b/>
                <w:color w:val="000000"/>
                <w:lang w:val="sv-SE" w:eastAsia="ja-JP"/>
              </w:rPr>
              <w:t xml:space="preserve">Tindak </w:t>
            </w:r>
            <w:r>
              <w:rPr>
                <w:rFonts w:ascii="Arial Narrow" w:hAnsi="Arial Narrow"/>
                <w:b/>
                <w:color w:val="000000"/>
                <w:lang w:val="sv-SE"/>
              </w:rPr>
              <w:t xml:space="preserve">Lanjut Yang Harus Dilakukan </w:t>
            </w:r>
          </w:p>
          <w:p w14:paraId="07D8E0C3" w14:textId="77777777" w:rsidR="00F47BCB" w:rsidRPr="000E46E3" w:rsidRDefault="00F47BCB" w:rsidP="00E43BAA">
            <w:pPr>
              <w:pStyle w:val="Style14"/>
              <w:ind w:left="318"/>
              <w:rPr>
                <w:rStyle w:val="Hyperlink"/>
                <w:rFonts w:ascii="Arial Narrow" w:hAnsi="Arial Narrow"/>
                <w:color w:val="auto"/>
                <w:sz w:val="22"/>
                <w:szCs w:val="22"/>
                <w:u w:val="none"/>
                <w:lang w:val="id-ID"/>
              </w:rPr>
            </w:pPr>
            <w:r w:rsidRPr="000E46E3">
              <w:rPr>
                <w:rFonts w:ascii="Arial Narrow" w:hAnsi="Arial Narrow"/>
                <w:color w:val="000000"/>
                <w:lang w:val="id-ID"/>
              </w:rPr>
              <w:t>
                1. Perusahaan wajib melakukan pemantauan emisi secara manual dan CEMS dengan frekuensi sesuai peraturan yang berlaku.
                <w:br/>
                2. Perusahaan wajib memantau semua parameter sumber emisi sesuai KEPUTUSAN MENTERI NEGARA LINGKUNGAN HIDUP NOMOR 13 TAHUN 1995, PERATURAN MENTERI LINGKUNGAN HIDUP NOMOR 4 TAHUN 2014, dengan menggunakan jasa laboratorium yang terakreditasi dan teregistrasi.
                <w:br/>
                3. Perusahaan wajib memenuhi baku mutu semua sumber emisi sesuai KEPUTUSAN MENTERI NEGARA LINGKUNGAN HIDUP NOMOR 13 TAHUN 1995, PERATURAN MENTERI LINGKUNGAN HIDUP NOMOR 4 TAHUN 2014.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Morowali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16ADAC00" w14:textId="77777777" w:rsidR="00F47BCB" w:rsidRDefault="00F47BCB" w:rsidP="00F47BCB">
      <w:pPr>
        <w:rPr>
          <w:rFonts w:ascii="Arial Narrow" w:hAnsi="Arial Narrow"/>
          <w:sz w:val="22"/>
          <w:szCs w:val="22"/>
          <w:lang w:val="id-ID"/>
        </w:rPr>
      </w:pPr>
    </w:p>
    <w:p w14:paraId="1FAC3C37" w14:textId="77777777" w:rsidR="00F47BCB" w:rsidRPr="00523B64" w:rsidRDefault="00F47BCB" w:rsidP="00F47BCB"/>
    <w:p w14:paraId="2D8ED702" w14:textId="77777777" w:rsidR="00F47BCB" w:rsidRPr="00523B64" w:rsidRDefault="00F47BCB" w:rsidP="00F47BCB"/>
    <w:p w14:paraId="5BDB3713" w14:textId="77777777" w:rsidR="00F47BCB" w:rsidRPr="0093444D" w:rsidRDefault="00F47BCB" w:rsidP="00F47BCB"/>
    <w:p w14:paraId="03DCBB75" w14:textId="77777777" w:rsidR="00F47BCB" w:rsidRPr="00096CD7" w:rsidRDefault="00F47BCB" w:rsidP="00F47BCB"/>
    <w:p w14:paraId="46102C07" w14:textId="77777777" w:rsidR="00F47BCB" w:rsidRPr="0079795E" w:rsidRDefault="00F47BCB" w:rsidP="00F47BCB"/>
    <w:p w14:paraId="2B2FCEDE" w14:textId="77777777" w:rsidR="00BF466D" w:rsidRPr="00F47BCB" w:rsidRDefault="00BF466D" w:rsidP="00F47BCB"/>
    <w:sectPr w:rsidR="00BF466D" w:rsidRPr="00F47BCB">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188.4/KEP.022/LB3/DPMPTSP/E-SPEED/IX/2020
                <w:br/>
                Tertanggal 07-09-2020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a). Fasilitas penyimpanan Limbah B3 berupa bangunan TPS LB3
b) Lokasi penyimpanan berada pada koordinat S.2'49'41.25'' E.122'10'13.584'' dengan fasilitas TPS seluas 13 x 10,6 M
c) Limbah B3 yang dapat disimpan adalah
- Peleburan besi dan baja (A-117B)
- Pengolahan Batubara Produksi kokas (A357-3)
- Peleburan Besi dan baja (A309-6)
d) Masa simpan Limbah Kategori 1 kurang dari 50kg/hari selama 180 hari dan yang 50kg/hari selama 90 hari; Kategori 2 kurang dari 50kg/hari selama 365 hari dan yang 50kg/hari selama 90 hari.</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188.4/KEP.022/LB3/DPMPTSP/E-SPEED/IX/2020
                <w:br/>
                Tertanggal 07-09-2019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61/ENVIRO-DSI/VIII/2022
                <w:br/>
                Tertanggal 15-08-2022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0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3.7000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3.7000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A108D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terkontaminasi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0.0100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A309-6</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Residu dari proses produksi kokas (tar)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28,311.1140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28,311.1140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Krakatau Poschem Dong Suh Chemical (Menerima dari Penghasil) 
Dengan pengangkut
PT Hijau Pratama Nusantara PT. Pelayaran Korindo 
Kode festronik
KLHK-1675029953 KLHK-1678432791 KLHK-1681705456 KLHK-1684508889 KLHK-1691648268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18.9000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12.6000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6.3000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Primergy Solution Plant Sumput (Menerima dari Penghasil) 
Dengan pengangkut
PT Hijau Pratama Nusantara 
Kode festronik
KLHK-1690888623 KLHK-1690888231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28,333.7240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28,323.7140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10.0100</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Kontainer</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pihak ketiga penerima memiliki izin berusaha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memenuhi pengelolaan manifest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dengan pihak ketiga yang memiliki izin berusaha sesuai dengan ketentuan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memenuhi ketentuan pengangkutan limbah B3</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Perusahaan TETAP melakukan pengelolaan lanjutan terhadap seluruh limbah B3 yang dihasilkan sesuai ketentuan peraturan dalam pengelolaan Limbah B3 dan persyaratan dalam izin;
          <w:br/>
          Perusahaan TETAP melakukan pencatatan (log book dan neraca) terhadap seluruh jenis dan volume Limbah B3 yang dihasilkan;
          <w:br/>
          Perusahaan TETAP menjaga pemenuhan teknis penyimpanan sementara Limbah B3 sesuai Permen LHK Nomor 6 Tahun 2021 Tentang Tata Cara dan Persyaratan Pengelolaan Limbah B3;
          <w:br/>
          Perusahaan TETAP memastikan agar pengelolan Limbah B3 oleh pihak ketiga yang memiliki izin telah sesuai ketentuan yang berlaku;
          <w:br/>
          Perusahaan TETAP melaporkan kinerja pengelolaan Limbah B3 melalui aplikasi Siraja Limbah B3 sesuai dengan ketentuan;
          <w:br/>
          Memprioritaskan upaya 3R (reuse, recycle, recovery) dalam pengelolaan Limbah B3;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